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B3EEE" w:rsidRPr="008B3EEE" w14:paraId="2048E0C7" w14:textId="77777777" w:rsidTr="008B3EEE">
        <w:trPr>
          <w:trHeight w:val="39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945E73D" w14:textId="1C1047CB" w:rsidR="008B3EEE" w:rsidRDefault="00B860CD" w:rsidP="008B3E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FOGLIO </w:t>
            </w:r>
            <w:r w:rsidR="008B3EEE">
              <w:rPr>
                <w:b/>
                <w:sz w:val="28"/>
              </w:rPr>
              <w:t>INFORMATIVO</w:t>
            </w:r>
          </w:p>
          <w:p w14:paraId="52E46D7B" w14:textId="6D8CAC09" w:rsidR="008B3EEE" w:rsidRPr="00F07DC9" w:rsidRDefault="008B3EEE" w:rsidP="00445A3F">
            <w:pPr>
              <w:jc w:val="center"/>
              <w:rPr>
                <w:b/>
                <w:sz w:val="24"/>
                <w:szCs w:val="24"/>
              </w:rPr>
            </w:pPr>
            <w:r w:rsidRPr="00F07DC9">
              <w:rPr>
                <w:b/>
                <w:sz w:val="24"/>
                <w:szCs w:val="24"/>
              </w:rPr>
              <w:t>PRONTO SOCCORSO/DIPARTIMENTO DI EMERGENZA E ACCETTAZIONE</w:t>
            </w:r>
            <w:r w:rsidR="00F07DC9" w:rsidRPr="00F07DC9">
              <w:rPr>
                <w:b/>
                <w:sz w:val="24"/>
                <w:szCs w:val="24"/>
              </w:rPr>
              <w:t xml:space="preserve"> </w:t>
            </w:r>
            <w:r w:rsidRPr="00F07DC9">
              <w:rPr>
                <w:b/>
                <w:sz w:val="24"/>
                <w:szCs w:val="24"/>
              </w:rPr>
              <w:t>(PS/DEA)</w:t>
            </w:r>
          </w:p>
        </w:tc>
      </w:tr>
    </w:tbl>
    <w:p w14:paraId="29D5C636" w14:textId="77777777" w:rsidR="007162C6" w:rsidRDefault="007162C6" w:rsidP="00F07DC9">
      <w:pPr>
        <w:spacing w:before="120" w:after="120"/>
        <w:jc w:val="both"/>
      </w:pPr>
      <w:r>
        <w:t>Gentile Signora/Signore,</w:t>
      </w:r>
    </w:p>
    <w:p w14:paraId="0921C28A" w14:textId="12CA05B1" w:rsidR="007162C6" w:rsidRDefault="007162C6" w:rsidP="00F07DC9">
      <w:pPr>
        <w:spacing w:after="60"/>
        <w:jc w:val="both"/>
      </w:pPr>
      <w:r>
        <w:t xml:space="preserve">durante l’attesa del Suo turno di accesso nella sala visite, invitiamo Lei, o chi è titolato in </w:t>
      </w:r>
      <w:r w:rsidR="00306514">
        <w:t>S</w:t>
      </w:r>
      <w:r>
        <w:t xml:space="preserve">ua vece (accompagnatore di sua fiducia che intende delegare a ricevere le informazioni, o se persona minore o incapace il rappresentante legale), a leggere e sottoscrivere questo modulo contenente informazioni utili sulla </w:t>
      </w:r>
      <w:r w:rsidR="00306514">
        <w:t>S</w:t>
      </w:r>
      <w:r>
        <w:t>ua permanenza e sugli accertamenti sanitari effettuati presso il Pronto Soccorso o Dipartimento di Emergenza e Accettazione (di seguito PS/DEA) di questa struttura.</w:t>
      </w:r>
    </w:p>
    <w:p w14:paraId="6F30CF18" w14:textId="77777777" w:rsidR="007162C6" w:rsidRDefault="007162C6" w:rsidP="00F07DC9">
      <w:pPr>
        <w:spacing w:after="60"/>
        <w:jc w:val="both"/>
      </w:pPr>
      <w:r>
        <w:t>La consegna del presente modulo informativo è annotata sulla scheda di triage, dove è riportato anche l’eventuale rifiuto di ricevere informazioni preliminari.</w:t>
      </w:r>
    </w:p>
    <w:p w14:paraId="3E85B6F1" w14:textId="77777777" w:rsidR="007162C6" w:rsidRDefault="007162C6" w:rsidP="00F07DC9">
      <w:pPr>
        <w:spacing w:after="60"/>
        <w:jc w:val="both"/>
      </w:pPr>
      <w:r>
        <w:t>Il modulo, compilato e sottoscritto, va restituito al personale sanitario per essere archiviato nella Sua cartella clinica di Pronto Soccorso.</w:t>
      </w:r>
    </w:p>
    <w:p w14:paraId="2AC812B2" w14:textId="70EA72F1" w:rsidR="007162C6" w:rsidRDefault="007162C6" w:rsidP="008D7BC0">
      <w:pPr>
        <w:spacing w:after="60"/>
        <w:jc w:val="both"/>
      </w:pPr>
      <w:r>
        <w:t>Dopo l’apertura della Sua scheda di Pronto Soccorso, è invitato a non allontanarsi o abbandonare arbitrariamente i locali del PS/DEA senza aver informato gli operatori del triage o il medic</w:t>
      </w:r>
      <w:r w:rsidR="008D7BC0">
        <w:t>o che l’ha visitata. Nel caso di persone assistite</w:t>
      </w:r>
      <w:r>
        <w:t xml:space="preserve"> minori o incapaci giuridici, o di accompagnatore delegato a ricevere le informazioni, la/le persone titolate, al fine di esser reperibili, si attengono alle indicazioni che gli saranno date, fornendo le modalità di contatto </w:t>
      </w:r>
      <w:r w:rsidR="008309B6">
        <w:t xml:space="preserve">e, ove possibile, restando presso i locali PS/DEA </w:t>
      </w:r>
      <w:r>
        <w:t>o altra zona indicata.</w:t>
      </w:r>
    </w:p>
    <w:p w14:paraId="5881F3A8" w14:textId="6B490B60" w:rsidR="007162C6" w:rsidRDefault="007162C6" w:rsidP="007162C6">
      <w:pPr>
        <w:spacing w:after="120"/>
        <w:jc w:val="both"/>
      </w:pPr>
      <w:r>
        <w:t>Durante la permanenza nel pronto soccorso (sala attesa, vis</w:t>
      </w:r>
      <w:r w:rsidR="00306514">
        <w:t>i</w:t>
      </w:r>
      <w:r>
        <w:t>ta etc.), nel caso in cui Lei non risponda alla chiamata degli operatori sanitari, la cartella clinica viene chiusa con annotazione dell’orario di chiamata.</w:t>
      </w:r>
    </w:p>
    <w:p w14:paraId="577C7F41" w14:textId="292ECC5D" w:rsidR="007162C6" w:rsidRPr="00F07DC9" w:rsidRDefault="002129AD" w:rsidP="00F0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240" w:after="120"/>
        <w:jc w:val="both"/>
        <w:rPr>
          <w:b/>
          <w:sz w:val="24"/>
        </w:rPr>
      </w:pPr>
      <w:r w:rsidRPr="00F07DC9">
        <w:rPr>
          <w:b/>
          <w:sz w:val="24"/>
        </w:rPr>
        <w:t>I</w:t>
      </w:r>
      <w:r w:rsidR="007162C6" w:rsidRPr="00F07DC9">
        <w:rPr>
          <w:b/>
          <w:sz w:val="24"/>
        </w:rPr>
        <w:t xml:space="preserve">ngresso nel </w:t>
      </w:r>
      <w:r w:rsidR="008309B6" w:rsidRPr="00F07DC9">
        <w:rPr>
          <w:b/>
          <w:sz w:val="24"/>
        </w:rPr>
        <w:t>PS/</w:t>
      </w:r>
      <w:r w:rsidR="007162C6" w:rsidRPr="00F07DC9">
        <w:rPr>
          <w:b/>
          <w:sz w:val="24"/>
        </w:rPr>
        <w:t>DEA</w:t>
      </w:r>
      <w:r w:rsidR="008309B6" w:rsidRPr="00F07DC9">
        <w:rPr>
          <w:b/>
          <w:sz w:val="24"/>
        </w:rPr>
        <w:t xml:space="preserve">, </w:t>
      </w:r>
      <w:r w:rsidR="007162C6" w:rsidRPr="00F07DC9">
        <w:rPr>
          <w:b/>
          <w:sz w:val="24"/>
        </w:rPr>
        <w:t>prime cure ed accertamenti</w:t>
      </w:r>
    </w:p>
    <w:p w14:paraId="5E2AB80E" w14:textId="452121C2" w:rsidR="007162C6" w:rsidRDefault="007162C6" w:rsidP="008D7BC0">
      <w:pPr>
        <w:spacing w:after="60"/>
        <w:jc w:val="both"/>
      </w:pPr>
      <w:r>
        <w:t xml:space="preserve">L’ingresso in </w:t>
      </w:r>
      <w:r w:rsidR="008309B6">
        <w:t xml:space="preserve">PS/DEA </w:t>
      </w:r>
      <w:r>
        <w:t>comporta una prima valutazione, cosiddetta di triage, delle condizioni cliniche del</w:t>
      </w:r>
      <w:r w:rsidR="008D7BC0">
        <w:t>la persona assistita</w:t>
      </w:r>
      <w:r>
        <w:t xml:space="preserve"> con il rilievo di sintomi e parametri di base (pressione arteriosa, frequenza cardiaca, temperatura, ossigenazione del sangue, etc.) e l’assegna</w:t>
      </w:r>
      <w:r w:rsidR="008309B6">
        <w:t xml:space="preserve">zione di un codice che </w:t>
      </w:r>
      <w:r>
        <w:t xml:space="preserve">riguarda la </w:t>
      </w:r>
      <w:r w:rsidRPr="008309B6">
        <w:rPr>
          <w:b/>
          <w:u w:val="single"/>
        </w:rPr>
        <w:t>priorità sui tempi di attesa della visita</w:t>
      </w:r>
      <w:r w:rsidR="008309B6">
        <w:rPr>
          <w:b/>
          <w:u w:val="single"/>
        </w:rPr>
        <w:t xml:space="preserve"> in relazione alla gravità del quadro clinico</w:t>
      </w:r>
      <w:r>
        <w:t xml:space="preserve"> e non l</w:t>
      </w:r>
      <w:r w:rsidR="008309B6">
        <w:t xml:space="preserve">’ordine di arrivo al PS/DEA. </w:t>
      </w:r>
      <w:r>
        <w:t>I tempi di attesa</w:t>
      </w:r>
      <w:r w:rsidR="008309B6">
        <w:t xml:space="preserve">, infatti, non sono prevedibili, dipendendo non solo dal numero di </w:t>
      </w:r>
      <w:r w:rsidR="008D7BC0">
        <w:t xml:space="preserve">persone </w:t>
      </w:r>
      <w:r w:rsidR="008309B6">
        <w:t xml:space="preserve">che accedono al PS/DEA, ma soprattutto dalla </w:t>
      </w:r>
      <w:r>
        <w:t xml:space="preserve">gravità delle </w:t>
      </w:r>
      <w:r w:rsidR="008309B6">
        <w:t xml:space="preserve">loro </w:t>
      </w:r>
      <w:r>
        <w:t>condizioni cliniche.</w:t>
      </w:r>
    </w:p>
    <w:p w14:paraId="27E3C9F4" w14:textId="6C4644EE" w:rsidR="007162C6" w:rsidRDefault="007162C6" w:rsidP="007162C6">
      <w:pPr>
        <w:spacing w:after="120"/>
        <w:jc w:val="both"/>
      </w:pPr>
      <w:r>
        <w:t>Ricordiamo, infatti, che gli ac</w:t>
      </w:r>
      <w:r w:rsidR="008309B6">
        <w:t xml:space="preserve">certamenti clinici, strumentali, </w:t>
      </w:r>
      <w:r>
        <w:t>di laboratorio</w:t>
      </w:r>
      <w:r w:rsidR="008309B6">
        <w:t xml:space="preserve">, </w:t>
      </w:r>
      <w:r w:rsidR="00F54986">
        <w:t>nonché</w:t>
      </w:r>
      <w:r>
        <w:t xml:space="preserve"> le cure prestate presso il </w:t>
      </w:r>
      <w:r w:rsidR="008309B6">
        <w:t xml:space="preserve">PS/DEA, </w:t>
      </w:r>
      <w:r>
        <w:t>sono essenzialmente volte al trattamento di gravi alterazioni dei parametri vitali e di forme acute di patologie primitive o di riacutizzazioni che richiedono la stabilizzazione delle funzioni vitali (cardiaca, respiratoria e neurologica) e il trattamento di sintomi e segni patologici acuti potenzialmente gravi. Qualora necessario</w:t>
      </w:r>
      <w:r w:rsidR="00306514">
        <w:t>,</w:t>
      </w:r>
      <w:r>
        <w:t xml:space="preserve"> al trattamento in </w:t>
      </w:r>
      <w:r w:rsidR="008309B6">
        <w:t xml:space="preserve">PS/DEA </w:t>
      </w:r>
      <w:r>
        <w:t xml:space="preserve">segue il ricovero in uno specifico reparto per proseguire gli accertamenti di diagnosi e cura, nello stesso ospedale </w:t>
      </w:r>
      <w:r w:rsidR="008309B6">
        <w:t>o in altra struttura sanitaria in relazione alla disponibilità di posti letto.</w:t>
      </w:r>
    </w:p>
    <w:p w14:paraId="68C75973" w14:textId="77777777" w:rsidR="007162C6" w:rsidRPr="00F07DC9" w:rsidRDefault="007162C6" w:rsidP="00F0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240" w:after="120"/>
        <w:jc w:val="both"/>
        <w:rPr>
          <w:b/>
          <w:sz w:val="24"/>
        </w:rPr>
      </w:pPr>
      <w:r w:rsidRPr="00F07DC9">
        <w:rPr>
          <w:b/>
          <w:sz w:val="24"/>
        </w:rPr>
        <w:t xml:space="preserve">Situazioni di emergenza </w:t>
      </w:r>
    </w:p>
    <w:p w14:paraId="42BF7961" w14:textId="215F0426" w:rsidR="007162C6" w:rsidRDefault="008309B6" w:rsidP="008D7BC0">
      <w:pPr>
        <w:spacing w:after="120"/>
        <w:jc w:val="both"/>
      </w:pPr>
      <w:r>
        <w:t>G</w:t>
      </w:r>
      <w:r w:rsidR="007162C6">
        <w:t>li</w:t>
      </w:r>
      <w:r>
        <w:t xml:space="preserve"> </w:t>
      </w:r>
      <w:r w:rsidR="007162C6">
        <w:t>operatori sanitari intraprendono immediatamente</w:t>
      </w:r>
      <w:r>
        <w:t xml:space="preserve"> </w:t>
      </w:r>
      <w:r w:rsidR="007162C6">
        <w:t>i trattamenti sanitari indispensabili o necessari per sostenere o rianimare le funzioni vitali compromesse del</w:t>
      </w:r>
      <w:r w:rsidR="008D7BC0">
        <w:t>la persona assistita,</w:t>
      </w:r>
      <w:r w:rsidR="007162C6">
        <w:t xml:space="preserve"> con imminente rischio di morte</w:t>
      </w:r>
      <w:r>
        <w:t>. In questi casi non si procede all’acquisizione del Consenso Informato (e alla sottoscrizione di questo modulo)</w:t>
      </w:r>
      <w:r w:rsidR="007162C6">
        <w:t xml:space="preserve">, perché </w:t>
      </w:r>
      <w:r>
        <w:t xml:space="preserve">prevale la </w:t>
      </w:r>
      <w:r w:rsidR="007162C6">
        <w:t xml:space="preserve">necessità di salvare </w:t>
      </w:r>
      <w:r w:rsidR="008D7BC0">
        <w:t>la persona assistita</w:t>
      </w:r>
      <w:r w:rsidR="007162C6">
        <w:t xml:space="preserve"> dal pericolo attuale di un danno grave per la salute o per la vita non altrimenti evitabile (art. 54 codice penale).</w:t>
      </w:r>
    </w:p>
    <w:p w14:paraId="0DE76564" w14:textId="77777777" w:rsidR="007162C6" w:rsidRPr="00F07DC9" w:rsidRDefault="007162C6" w:rsidP="00F0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240" w:after="120"/>
        <w:jc w:val="both"/>
        <w:rPr>
          <w:b/>
          <w:sz w:val="24"/>
        </w:rPr>
      </w:pPr>
      <w:r w:rsidRPr="00F07DC9">
        <w:rPr>
          <w:b/>
          <w:sz w:val="24"/>
        </w:rPr>
        <w:lastRenderedPageBreak/>
        <w:t xml:space="preserve">Situazioni di urgenza </w:t>
      </w:r>
    </w:p>
    <w:p w14:paraId="012978A3" w14:textId="254732A8" w:rsidR="008309B6" w:rsidRDefault="008309B6" w:rsidP="008D7BC0">
      <w:pPr>
        <w:spacing w:after="60"/>
        <w:jc w:val="both"/>
      </w:pPr>
      <w:r>
        <w:t>Gli operatori</w:t>
      </w:r>
      <w:r w:rsidR="007162C6">
        <w:t xml:space="preserve"> sanitari, compatibilmente con le circostanze di tempo, luogo e condizioni cliniche, informano </w:t>
      </w:r>
      <w:r w:rsidR="008D7BC0">
        <w:t>la persona assistita</w:t>
      </w:r>
      <w:r>
        <w:t xml:space="preserve">, la persona legittimata che l’accompagna </w:t>
      </w:r>
      <w:r w:rsidR="007162C6">
        <w:t>(in caso</w:t>
      </w:r>
      <w:r>
        <w:t xml:space="preserve"> di </w:t>
      </w:r>
      <w:r w:rsidR="008D7BC0">
        <w:t>persona assistita</w:t>
      </w:r>
      <w:r>
        <w:t xml:space="preserve"> incapace o minore)</w:t>
      </w:r>
      <w:r w:rsidR="007162C6">
        <w:t>, o per casi particolari il giudice tutelare, dell’urgenza dell’iter diagnostico-terapeutico da intraprendere, prima possibile, in base a criteri e tempi d’intervento stabiliti da linee guid</w:t>
      </w:r>
      <w:r>
        <w:t>a e buone pratiche cliniche.</w:t>
      </w:r>
    </w:p>
    <w:p w14:paraId="2F05A762" w14:textId="2E046896" w:rsidR="007162C6" w:rsidRDefault="008309B6" w:rsidP="008D7BC0">
      <w:pPr>
        <w:spacing w:after="120"/>
        <w:jc w:val="both"/>
      </w:pPr>
      <w:r>
        <w:t>L’e</w:t>
      </w:r>
      <w:r w:rsidR="007162C6">
        <w:t>ventuale rifiuto di tutto o parte dell’iter diagnostico-terapeutico urgente viene annotato, contestualmente all’informazione delle conseguenze, nella cartella clinica di Pronto Soccorso sottoscritta da</w:t>
      </w:r>
      <w:r>
        <w:t>l</w:t>
      </w:r>
      <w:r w:rsidR="008D7BC0">
        <w:t>la persona assistita</w:t>
      </w:r>
      <w:r>
        <w:t xml:space="preserve"> o dalla perso</w:t>
      </w:r>
      <w:r w:rsidR="003B6185">
        <w:t>na legittima</w:t>
      </w:r>
      <w:r>
        <w:t>ta.</w:t>
      </w:r>
    </w:p>
    <w:p w14:paraId="06F32DDA" w14:textId="318D06DE" w:rsidR="007162C6" w:rsidRPr="00F07DC9" w:rsidRDefault="007162C6" w:rsidP="00F0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240" w:after="120"/>
        <w:jc w:val="both"/>
        <w:rPr>
          <w:b/>
          <w:sz w:val="24"/>
        </w:rPr>
      </w:pPr>
      <w:r w:rsidRPr="00F07DC9">
        <w:rPr>
          <w:b/>
          <w:sz w:val="24"/>
        </w:rPr>
        <w:t>Sala vis</w:t>
      </w:r>
      <w:r w:rsidR="00837F7D">
        <w:rPr>
          <w:b/>
          <w:sz w:val="24"/>
        </w:rPr>
        <w:t>i</w:t>
      </w:r>
      <w:r w:rsidRPr="00F07DC9">
        <w:rPr>
          <w:b/>
          <w:sz w:val="24"/>
        </w:rPr>
        <w:t>ta ed accertamenti</w:t>
      </w:r>
    </w:p>
    <w:p w14:paraId="3A32BB9B" w14:textId="6AB2C172" w:rsidR="007162C6" w:rsidRDefault="007162C6" w:rsidP="00F07DC9">
      <w:pPr>
        <w:spacing w:after="60"/>
        <w:jc w:val="both"/>
      </w:pPr>
      <w:r>
        <w:t>Chiederemo a Lei o a chi è titolato, la sottoscrizione di un Consenso Informato Generale per le prime cure e accertamenti diagnostici in base alle risultanze della visita medica (prelievi venosi/arteriosi, esami strumentali, somministrazione di farmaci, applicazioni ca</w:t>
      </w:r>
      <w:r w:rsidR="00B868A4">
        <w:t>teteri, visite specialistiche ec</w:t>
      </w:r>
      <w:r>
        <w:t xml:space="preserve">c.). </w:t>
      </w:r>
    </w:p>
    <w:p w14:paraId="4753FC5E" w14:textId="60121D4B" w:rsidR="007162C6" w:rsidRDefault="007162C6" w:rsidP="00F07DC9">
      <w:pPr>
        <w:spacing w:after="60"/>
        <w:jc w:val="both"/>
      </w:pPr>
      <w:r>
        <w:t xml:space="preserve">In base all’evoluzione della </w:t>
      </w:r>
      <w:r w:rsidR="00B868A4">
        <w:t xml:space="preserve">Sua </w:t>
      </w:r>
      <w:r>
        <w:t>situazione</w:t>
      </w:r>
      <w:r w:rsidR="00B868A4">
        <w:t>,</w:t>
      </w:r>
      <w:r>
        <w:t xml:space="preserve"> Le potranno venire proposti altri accertamenti e trattamenti sanitari per i quali sarà chiesta</w:t>
      </w:r>
      <w:r w:rsidR="00B868A4">
        <w:t>, a Lei o a chi è titolato,</w:t>
      </w:r>
      <w:r>
        <w:t xml:space="preserve"> la sottoscrizione un consenso </w:t>
      </w:r>
      <w:r w:rsidR="00B868A4">
        <w:t>specifico</w:t>
      </w:r>
      <w:r>
        <w:t>.</w:t>
      </w:r>
    </w:p>
    <w:p w14:paraId="7C057637" w14:textId="3CC5F78C" w:rsidR="007162C6" w:rsidRDefault="007162C6" w:rsidP="00F07DC9">
      <w:pPr>
        <w:spacing w:after="60"/>
        <w:jc w:val="both"/>
      </w:pPr>
      <w:r>
        <w:t>Le procedure necessarie per diagnosi e cure eventualmente rifiu</w:t>
      </w:r>
      <w:r w:rsidR="00B868A4">
        <w:t>tate in toto o in parte, da Lei</w:t>
      </w:r>
      <w:r>
        <w:t xml:space="preserve"> o da chi è titolato, previa informazione dei rischi e delle conseguenze per la salute, immediate e successive, vengono annotate dal sanitario nella cartella clinica di Pronto Soccorso.</w:t>
      </w:r>
    </w:p>
    <w:p w14:paraId="3BB9D599" w14:textId="043F8B62" w:rsidR="007162C6" w:rsidRPr="00306514" w:rsidRDefault="00B868A4" w:rsidP="008D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240" w:after="120"/>
        <w:jc w:val="both"/>
        <w:rPr>
          <w:b/>
          <w:sz w:val="24"/>
        </w:rPr>
      </w:pPr>
      <w:r w:rsidRPr="00306514">
        <w:rPr>
          <w:b/>
          <w:sz w:val="24"/>
        </w:rPr>
        <w:t>R</w:t>
      </w:r>
      <w:r w:rsidR="007162C6" w:rsidRPr="00306514">
        <w:rPr>
          <w:b/>
          <w:sz w:val="24"/>
        </w:rPr>
        <w:t>ifiuto</w:t>
      </w:r>
      <w:r w:rsidRPr="00306514">
        <w:rPr>
          <w:b/>
          <w:sz w:val="24"/>
        </w:rPr>
        <w:t xml:space="preserve"> </w:t>
      </w:r>
      <w:r w:rsidR="007162C6" w:rsidRPr="00306514">
        <w:rPr>
          <w:b/>
          <w:sz w:val="24"/>
        </w:rPr>
        <w:t>o revoca alle cure ne</w:t>
      </w:r>
      <w:r w:rsidR="008D7BC0">
        <w:rPr>
          <w:b/>
          <w:sz w:val="24"/>
        </w:rPr>
        <w:t>lle persone assistite</w:t>
      </w:r>
      <w:r w:rsidRPr="00306514">
        <w:rPr>
          <w:b/>
          <w:sz w:val="24"/>
        </w:rPr>
        <w:t xml:space="preserve"> giuridicamente incapaci</w:t>
      </w:r>
      <w:r w:rsidR="00E534B3" w:rsidRPr="00306514">
        <w:rPr>
          <w:b/>
          <w:sz w:val="24"/>
        </w:rPr>
        <w:t xml:space="preserve"> e negli incapaci adulti in assenza di DAT</w:t>
      </w:r>
    </w:p>
    <w:p w14:paraId="447B5D3A" w14:textId="14965280" w:rsidR="002129AD" w:rsidRPr="00306514" w:rsidRDefault="007162C6" w:rsidP="008D7BC0">
      <w:pPr>
        <w:spacing w:after="60"/>
        <w:jc w:val="both"/>
      </w:pPr>
      <w:r w:rsidRPr="00306514">
        <w:t>Ne</w:t>
      </w:r>
      <w:r w:rsidR="00B868A4" w:rsidRPr="00306514">
        <w:t>l caso</w:t>
      </w:r>
      <w:r w:rsidRPr="00306514">
        <w:t xml:space="preserve"> di </w:t>
      </w:r>
      <w:r w:rsidR="008D7BC0">
        <w:t>persone assistite</w:t>
      </w:r>
      <w:r w:rsidRPr="00306514">
        <w:t xml:space="preserve"> incapaci</w:t>
      </w:r>
      <w:r w:rsidR="008D7BC0">
        <w:t>,</w:t>
      </w:r>
      <w:r w:rsidR="00E534B3" w:rsidRPr="00306514">
        <w:t xml:space="preserve"> </w:t>
      </w:r>
      <w:r w:rsidRPr="00306514">
        <w:t xml:space="preserve">qualora il rappresentante legale della persona rifiuti o revochi le cure proposte (trattamenti </w:t>
      </w:r>
      <w:r w:rsidR="00B868A4" w:rsidRPr="00306514">
        <w:t>e/o</w:t>
      </w:r>
      <w:r w:rsidRPr="00306514">
        <w:t xml:space="preserve"> accertamenti) ritenute appropriate e necessarie dal medico e in assenza di Disposizioni Anticipate di </w:t>
      </w:r>
      <w:r w:rsidR="002129AD" w:rsidRPr="00306514">
        <w:t>Trattamento (DAT)</w:t>
      </w:r>
      <w:r w:rsidRPr="00306514">
        <w:t xml:space="preserve">, qualora le condizioni di salute ne consentano la differibilità, il medico segnala l’opposizione o la revoca al Giudice Tutelare cui è </w:t>
      </w:r>
      <w:r w:rsidR="002129AD" w:rsidRPr="00306514">
        <w:t>rimessa la decisione.</w:t>
      </w:r>
    </w:p>
    <w:p w14:paraId="63442486" w14:textId="21A9A9D6" w:rsidR="007162C6" w:rsidRDefault="007162C6" w:rsidP="007162C6">
      <w:pPr>
        <w:spacing w:after="120"/>
        <w:jc w:val="both"/>
      </w:pPr>
      <w:r w:rsidRPr="00306514">
        <w:t>Laddove i trattamenti siano ritenuti necessari e non differibili, il medico procede tempestivamente al</w:t>
      </w:r>
      <w:r w:rsidR="00F54986" w:rsidRPr="00306514">
        <w:t>le cure ritenute indispensabili, segnalando al più presto la situazione all’Ufficio del Giudice Tutelare affinché provveda alla nomina d</w:t>
      </w:r>
      <w:r w:rsidR="00E534B3" w:rsidRPr="00306514">
        <w:t>i un amministratore di sostegno per gli adulti incapaci in assenza di DAT.</w:t>
      </w:r>
    </w:p>
    <w:p w14:paraId="7676835A" w14:textId="77777777" w:rsidR="007162C6" w:rsidRPr="00F07DC9" w:rsidRDefault="007162C6" w:rsidP="00F0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240" w:after="120"/>
        <w:jc w:val="both"/>
        <w:rPr>
          <w:b/>
          <w:sz w:val="24"/>
        </w:rPr>
      </w:pPr>
      <w:r w:rsidRPr="00F07DC9">
        <w:rPr>
          <w:b/>
          <w:sz w:val="24"/>
        </w:rPr>
        <w:t xml:space="preserve">Permanenza nel DEA </w:t>
      </w:r>
    </w:p>
    <w:p w14:paraId="3B9A1B2B" w14:textId="151BD00F" w:rsidR="007162C6" w:rsidRDefault="002129AD" w:rsidP="002129AD">
      <w:pPr>
        <w:spacing w:after="0"/>
        <w:jc w:val="both"/>
      </w:pPr>
      <w:r>
        <w:t>A</w:t>
      </w:r>
      <w:r w:rsidR="007162C6">
        <w:t>ll</w:t>
      </w:r>
      <w:r>
        <w:t>’</w:t>
      </w:r>
      <w:r w:rsidR="007162C6">
        <w:t>esito degli accertamenti e dei trattamenti sanitari effettuati</w:t>
      </w:r>
      <w:r>
        <w:t>, il medico può decidere di disporre:</w:t>
      </w:r>
    </w:p>
    <w:p w14:paraId="221103AF" w14:textId="7DEAD2A8" w:rsidR="007162C6" w:rsidRDefault="007162C6" w:rsidP="002129AD">
      <w:pPr>
        <w:pStyle w:val="Paragrafoelenco"/>
        <w:numPr>
          <w:ilvl w:val="0"/>
          <w:numId w:val="3"/>
        </w:numPr>
        <w:spacing w:after="120"/>
        <w:ind w:left="284" w:hanging="284"/>
        <w:jc w:val="both"/>
      </w:pPr>
      <w:r>
        <w:t>dimissioni al domicilio, con r</w:t>
      </w:r>
      <w:r w:rsidR="002129AD">
        <w:t>elative indicazioni da seguire;</w:t>
      </w:r>
    </w:p>
    <w:p w14:paraId="01C719DC" w14:textId="4AE5375B" w:rsidR="007162C6" w:rsidRDefault="007162C6" w:rsidP="002129AD">
      <w:pPr>
        <w:pStyle w:val="Paragrafoelenco"/>
        <w:numPr>
          <w:ilvl w:val="0"/>
          <w:numId w:val="3"/>
        </w:numPr>
        <w:spacing w:after="120"/>
        <w:ind w:left="284" w:hanging="284"/>
        <w:jc w:val="both"/>
      </w:pPr>
      <w:r>
        <w:t>invio al curante, con relative indicazioni</w:t>
      </w:r>
      <w:r w:rsidR="002129AD">
        <w:t>;</w:t>
      </w:r>
    </w:p>
    <w:p w14:paraId="4E37B2C3" w14:textId="0FE56EDE" w:rsidR="007162C6" w:rsidRDefault="007162C6" w:rsidP="002129AD">
      <w:pPr>
        <w:pStyle w:val="Paragrafoelenco"/>
        <w:numPr>
          <w:ilvl w:val="0"/>
          <w:numId w:val="3"/>
        </w:numPr>
        <w:spacing w:after="120"/>
        <w:ind w:left="284" w:hanging="284"/>
        <w:jc w:val="both"/>
      </w:pPr>
      <w:r>
        <w:t>invio a controlli ambulator</w:t>
      </w:r>
      <w:r w:rsidR="002129AD">
        <w:t>iali, con relative indicazioni;</w:t>
      </w:r>
      <w:bookmarkStart w:id="0" w:name="_GoBack"/>
      <w:bookmarkEnd w:id="0"/>
    </w:p>
    <w:p w14:paraId="49D1B244" w14:textId="3B22459A" w:rsidR="007162C6" w:rsidRDefault="007162C6" w:rsidP="002129AD">
      <w:pPr>
        <w:pStyle w:val="Paragrafoelenco"/>
        <w:numPr>
          <w:ilvl w:val="0"/>
          <w:numId w:val="3"/>
        </w:numPr>
        <w:spacing w:after="120"/>
        <w:ind w:left="284" w:hanging="284"/>
        <w:jc w:val="both"/>
      </w:pPr>
      <w:r>
        <w:t>ricovero, in base alle disponibilità di posti letto, presso un</w:t>
      </w:r>
      <w:r w:rsidR="002129AD">
        <w:t xml:space="preserve"> reparto dello stesso ospedale;</w:t>
      </w:r>
    </w:p>
    <w:p w14:paraId="3861B5F2" w14:textId="636BBAE6" w:rsidR="002129AD" w:rsidRDefault="002129AD" w:rsidP="002129AD">
      <w:pPr>
        <w:pStyle w:val="Paragrafoelenco"/>
        <w:numPr>
          <w:ilvl w:val="0"/>
          <w:numId w:val="3"/>
        </w:numPr>
        <w:spacing w:after="120"/>
        <w:ind w:left="284" w:hanging="284"/>
        <w:jc w:val="both"/>
      </w:pPr>
      <w:r>
        <w:t xml:space="preserve">ricovero </w:t>
      </w:r>
      <w:r w:rsidR="007162C6">
        <w:t>presso un reparto di appoggio dello stesso ospedale in attesa di po</w:t>
      </w:r>
      <w:r>
        <w:t>sto letto nel reparto idoneo;</w:t>
      </w:r>
    </w:p>
    <w:p w14:paraId="72D720FC" w14:textId="3A05C718" w:rsidR="007162C6" w:rsidRDefault="007162C6" w:rsidP="00F07DC9">
      <w:pPr>
        <w:pStyle w:val="Paragrafoelenco"/>
        <w:numPr>
          <w:ilvl w:val="0"/>
          <w:numId w:val="3"/>
        </w:numPr>
        <w:spacing w:after="60"/>
        <w:ind w:left="284" w:hanging="284"/>
        <w:jc w:val="both"/>
      </w:pPr>
      <w:r>
        <w:t>trasferimento ad altr</w:t>
      </w:r>
      <w:r w:rsidR="002129AD">
        <w:t>a</w:t>
      </w:r>
      <w:r>
        <w:t xml:space="preserve"> </w:t>
      </w:r>
      <w:r w:rsidR="002129AD">
        <w:t xml:space="preserve">struttura </w:t>
      </w:r>
      <w:r>
        <w:t>che abbia dato l’assenso.</w:t>
      </w:r>
    </w:p>
    <w:p w14:paraId="42194B3F" w14:textId="1EF4F4A4" w:rsidR="007162C6" w:rsidRDefault="007162C6" w:rsidP="00F07DC9">
      <w:pPr>
        <w:spacing w:after="0"/>
        <w:jc w:val="both"/>
      </w:pPr>
      <w:r>
        <w:t>Lei o</w:t>
      </w:r>
      <w:r w:rsidR="002129AD">
        <w:t xml:space="preserve"> chi </w:t>
      </w:r>
      <w:r w:rsidR="00E534B3">
        <w:t>da Lei</w:t>
      </w:r>
      <w:r w:rsidR="002129AD">
        <w:t xml:space="preserve"> titolato, </w:t>
      </w:r>
      <w:r>
        <w:t>può manifestare un esplicito e formale dissenso circa:</w:t>
      </w:r>
    </w:p>
    <w:p w14:paraId="11DB2BB0" w14:textId="77777777" w:rsidR="002129AD" w:rsidRDefault="007162C6" w:rsidP="002129AD">
      <w:pPr>
        <w:pStyle w:val="Paragrafoelenco"/>
        <w:numPr>
          <w:ilvl w:val="0"/>
          <w:numId w:val="4"/>
        </w:numPr>
        <w:spacing w:after="0"/>
        <w:ind w:left="284" w:hanging="284"/>
        <w:jc w:val="both"/>
      </w:pPr>
      <w:r>
        <w:t>la proposta di ricovero</w:t>
      </w:r>
      <w:r w:rsidR="002129AD">
        <w:t xml:space="preserve">. In questo caso può </w:t>
      </w:r>
      <w:r>
        <w:t>chiedere le dimissioni dal Pronto Soccorso contro il parere dei sanitari previa informazione da parte degli stessi dei rischi e delle conseguenze, immediate e a distanza, che la decisione assunta, di essere dimessi, comporta per la Sua salute;</w:t>
      </w:r>
    </w:p>
    <w:p w14:paraId="721A3AE8" w14:textId="5D896B8C" w:rsidR="00F07DC9" w:rsidRPr="00306514" w:rsidRDefault="007162C6" w:rsidP="00405060">
      <w:pPr>
        <w:pStyle w:val="Paragrafoelenco"/>
        <w:numPr>
          <w:ilvl w:val="0"/>
          <w:numId w:val="4"/>
        </w:numPr>
        <w:spacing w:after="120"/>
        <w:ind w:left="284" w:hanging="284"/>
        <w:jc w:val="both"/>
      </w:pPr>
      <w:r w:rsidRPr="00306514">
        <w:t>la proposta di trasferimento presso alt</w:t>
      </w:r>
      <w:r w:rsidR="00E534B3" w:rsidRPr="00306514">
        <w:t>r</w:t>
      </w:r>
      <w:r w:rsidRPr="00306514">
        <w:t xml:space="preserve">a struttura sanitaria. In questo caso, </w:t>
      </w:r>
      <w:r w:rsidR="00D6396C" w:rsidRPr="00306514">
        <w:t>per effetto delle disposizioni regionali, il rifiuto del trasferimento equivale a un rifiuto di ricovero in urgenza.</w:t>
      </w:r>
    </w:p>
    <w:p w14:paraId="6D0CED13" w14:textId="77777777" w:rsidR="008B3EEE" w:rsidRDefault="008B3EEE" w:rsidP="008C69FD">
      <w:pPr>
        <w:spacing w:after="0"/>
      </w:pPr>
    </w:p>
    <w:sectPr w:rsidR="008B3EEE" w:rsidSect="00A447B4">
      <w:headerReference w:type="first" r:id="rId7"/>
      <w:pgSz w:w="11906" w:h="16838"/>
      <w:pgMar w:top="1191" w:right="1134" w:bottom="1134" w:left="1134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78F7" w14:textId="77777777" w:rsidR="00073F73" w:rsidRDefault="00073F73" w:rsidP="00B42508">
      <w:pPr>
        <w:spacing w:after="0" w:line="240" w:lineRule="auto"/>
      </w:pPr>
      <w:r>
        <w:separator/>
      </w:r>
    </w:p>
  </w:endnote>
  <w:endnote w:type="continuationSeparator" w:id="0">
    <w:p w14:paraId="4478B43A" w14:textId="77777777" w:rsidR="00073F73" w:rsidRDefault="00073F73" w:rsidP="00B4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B4737" w14:textId="77777777" w:rsidR="00073F73" w:rsidRDefault="00073F73" w:rsidP="00B42508">
      <w:pPr>
        <w:spacing w:after="0" w:line="240" w:lineRule="auto"/>
      </w:pPr>
      <w:r>
        <w:separator/>
      </w:r>
    </w:p>
  </w:footnote>
  <w:footnote w:type="continuationSeparator" w:id="0">
    <w:p w14:paraId="42F63B9D" w14:textId="77777777" w:rsidR="00073F73" w:rsidRDefault="00073F73" w:rsidP="00B4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69"/>
      <w:gridCol w:w="2250"/>
      <w:gridCol w:w="569"/>
      <w:gridCol w:w="4250"/>
    </w:tblGrid>
    <w:tr w:rsidR="00A73736" w:rsidRPr="00625FBC" w14:paraId="31BED589" w14:textId="77777777" w:rsidTr="00A73736">
      <w:trPr>
        <w:trHeight w:val="699"/>
        <w:jc w:val="center"/>
      </w:trPr>
      <w:tc>
        <w:tcPr>
          <w:tcW w:w="1333" w:type="pct"/>
          <w:vMerge w:val="restart"/>
          <w:vAlign w:val="center"/>
        </w:tcPr>
        <w:p w14:paraId="45A227F4" w14:textId="77777777" w:rsidR="00A73736" w:rsidRPr="00625FBC" w:rsidRDefault="00A73736" w:rsidP="00A73736">
          <w:pPr>
            <w:jc w:val="center"/>
            <w:rPr>
              <w:rFonts w:ascii="Gill Sans MT" w:hAnsi="Gill Sans MT" w:cs="Arial"/>
              <w:smallCaps/>
            </w:rPr>
          </w:pPr>
          <w:bookmarkStart w:id="1" w:name="_Hlk216167075"/>
          <w:r w:rsidRPr="00625FBC">
            <w:rPr>
              <w:rFonts w:ascii="Gill Sans MT" w:hAnsi="Gill Sans MT" w:cs="Arial"/>
              <w:smallCaps/>
              <w:noProof/>
              <w:lang w:eastAsia="it-IT"/>
            </w:rPr>
            <w:drawing>
              <wp:inline distT="0" distB="0" distL="0" distR="0" wp14:anchorId="456C6AE1" wp14:editId="6B4D1081">
                <wp:extent cx="1620000" cy="480774"/>
                <wp:effectExtent l="0" t="0" r="0" b="0"/>
                <wp:docPr id="1853218836" name="Elemento gra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29035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80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7" w:type="pct"/>
          <w:vAlign w:val="center"/>
        </w:tcPr>
        <w:p w14:paraId="78E392C7" w14:textId="77777777" w:rsidR="00A73736" w:rsidRPr="00625FBC" w:rsidRDefault="00A73736" w:rsidP="00A73736">
          <w:pPr>
            <w:rPr>
              <w:rFonts w:ascii="Gill Sans MT" w:hAnsi="Gill Sans MT" w:cs="Arial"/>
              <w:smallCaps/>
              <w:spacing w:val="6"/>
            </w:rPr>
          </w:pPr>
        </w:p>
      </w:tc>
      <w:tc>
        <w:tcPr>
          <w:tcW w:w="2500" w:type="pct"/>
          <w:gridSpan w:val="2"/>
          <w:vAlign w:val="center"/>
        </w:tcPr>
        <w:p w14:paraId="4D82E603" w14:textId="77777777" w:rsidR="00A73736" w:rsidRPr="00625FBC" w:rsidRDefault="00A73736" w:rsidP="00A73736">
          <w:pPr>
            <w:jc w:val="right"/>
            <w:rPr>
              <w:rFonts w:ascii="Gill Sans MT" w:hAnsi="Gill Sans MT" w:cs="Arial"/>
              <w:smallCaps/>
            </w:rPr>
          </w:pPr>
          <w:r w:rsidRPr="00625FBC">
            <w:rPr>
              <w:noProof/>
              <w:lang w:eastAsia="it-IT"/>
            </w:rPr>
            <w:drawing>
              <wp:inline distT="0" distB="0" distL="0" distR="0" wp14:anchorId="067F0BBE" wp14:editId="52F23AA2">
                <wp:extent cx="1620000" cy="539888"/>
                <wp:effectExtent l="0" t="0" r="0" b="0"/>
                <wp:docPr id="631722614" name="Immagine 1" descr="regione la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gione laz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39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3736" w:rsidRPr="00625FBC" w14:paraId="748C6649" w14:textId="77777777" w:rsidTr="00A73736">
      <w:trPr>
        <w:trHeight w:hRule="exact" w:val="583"/>
        <w:jc w:val="center"/>
      </w:trPr>
      <w:tc>
        <w:tcPr>
          <w:tcW w:w="1333" w:type="pct"/>
          <w:vMerge/>
          <w:vAlign w:val="center"/>
        </w:tcPr>
        <w:p w14:paraId="0112B773" w14:textId="77777777" w:rsidR="00A73736" w:rsidRPr="00625FBC" w:rsidRDefault="00A73736" w:rsidP="00A73736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167" w:type="pct"/>
          <w:vMerge w:val="restart"/>
          <w:vAlign w:val="center"/>
        </w:tcPr>
        <w:p w14:paraId="46145F9D" w14:textId="77777777" w:rsidR="00A73736" w:rsidRPr="00625FBC" w:rsidRDefault="00A73736" w:rsidP="00A73736">
          <w:pPr>
            <w:jc w:val="center"/>
            <w:rPr>
              <w:rFonts w:ascii="Gill Sans MT" w:hAnsi="Gill Sans MT" w:cs="Arial"/>
              <w:smallCaps/>
              <w:spacing w:val="9"/>
            </w:rPr>
          </w:pPr>
        </w:p>
      </w:tc>
      <w:tc>
        <w:tcPr>
          <w:tcW w:w="295" w:type="pct"/>
          <w:vAlign w:val="center"/>
        </w:tcPr>
        <w:p w14:paraId="16A4E3A7" w14:textId="77777777" w:rsidR="00A73736" w:rsidRPr="00625FBC" w:rsidRDefault="00A73736" w:rsidP="00A73736">
          <w:pPr>
            <w:ind w:left="64"/>
            <w:jc w:val="center"/>
            <w:rPr>
              <w:rFonts w:ascii="Gill Sans MT" w:hAnsi="Gill Sans MT" w:cs="Arial"/>
              <w:smallCaps/>
              <w:noProof/>
            </w:rPr>
          </w:pPr>
        </w:p>
      </w:tc>
      <w:tc>
        <w:tcPr>
          <w:tcW w:w="2205" w:type="pct"/>
          <w:vAlign w:val="center"/>
        </w:tcPr>
        <w:p w14:paraId="4EBE45E6" w14:textId="4E208A7E" w:rsidR="00A73736" w:rsidRPr="00625FBC" w:rsidRDefault="00A73736" w:rsidP="00A73736">
          <w:pPr>
            <w:ind w:left="64"/>
            <w:jc w:val="right"/>
            <w:rPr>
              <w:rFonts w:ascii="Gill Sans MT" w:hAnsi="Gill Sans MT" w:cs="Arial"/>
              <w:smallCaps/>
              <w:noProof/>
            </w:rPr>
          </w:pP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All.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5</w:t>
          </w: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pro sqrm 39 consenso informato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– Foglio Informativo PS_DEA</w:t>
          </w:r>
        </w:p>
      </w:tc>
    </w:tr>
    <w:tr w:rsidR="00A73736" w:rsidRPr="00625FBC" w14:paraId="1C99700D" w14:textId="77777777" w:rsidTr="00A73736">
      <w:trPr>
        <w:trHeight w:hRule="exact" w:val="259"/>
        <w:jc w:val="center"/>
      </w:trPr>
      <w:tc>
        <w:tcPr>
          <w:tcW w:w="1333" w:type="pct"/>
          <w:vMerge/>
          <w:vAlign w:val="center"/>
        </w:tcPr>
        <w:p w14:paraId="493D07A3" w14:textId="77777777" w:rsidR="00A73736" w:rsidRPr="00625FBC" w:rsidRDefault="00A73736" w:rsidP="00A73736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167" w:type="pct"/>
          <w:vMerge/>
          <w:vAlign w:val="center"/>
        </w:tcPr>
        <w:p w14:paraId="455AE1A4" w14:textId="77777777" w:rsidR="00A73736" w:rsidRPr="00625FBC" w:rsidRDefault="00A73736" w:rsidP="00A73736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2500" w:type="pct"/>
          <w:gridSpan w:val="2"/>
          <w:vAlign w:val="center"/>
        </w:tcPr>
        <w:p w14:paraId="4A8F19DC" w14:textId="77777777" w:rsidR="00A73736" w:rsidRPr="00625FBC" w:rsidRDefault="00A73736" w:rsidP="00A73736">
          <w:pPr>
            <w:rPr>
              <w:rFonts w:ascii="Gill Sans MT" w:hAnsi="Gill Sans MT" w:cs="Arial"/>
              <w:smallCaps/>
              <w:spacing w:val="6"/>
            </w:rPr>
          </w:pPr>
        </w:p>
        <w:p w14:paraId="6EDFD91F" w14:textId="77777777" w:rsidR="00A73736" w:rsidRPr="00625FBC" w:rsidRDefault="00A73736" w:rsidP="00A73736">
          <w:pPr>
            <w:jc w:val="center"/>
            <w:rPr>
              <w:rFonts w:ascii="Gill Sans MT" w:hAnsi="Gill Sans MT" w:cs="Arial"/>
              <w:smallCaps/>
            </w:rPr>
          </w:pPr>
        </w:p>
      </w:tc>
    </w:tr>
    <w:bookmarkEnd w:id="1"/>
  </w:tbl>
  <w:p w14:paraId="74719D08" w14:textId="77777777" w:rsidR="00A73736" w:rsidRDefault="00A73736" w:rsidP="00A447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585"/>
    <w:multiLevelType w:val="hybridMultilevel"/>
    <w:tmpl w:val="F6A83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4250"/>
    <w:multiLevelType w:val="hybridMultilevel"/>
    <w:tmpl w:val="028AD372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926D0"/>
    <w:multiLevelType w:val="hybridMultilevel"/>
    <w:tmpl w:val="52807B0A"/>
    <w:lvl w:ilvl="0" w:tplc="0410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9F07DD"/>
    <w:multiLevelType w:val="hybridMultilevel"/>
    <w:tmpl w:val="C534DF26"/>
    <w:lvl w:ilvl="0" w:tplc="F1FE566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35EFF"/>
    <w:multiLevelType w:val="hybridMultilevel"/>
    <w:tmpl w:val="5886A002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65370"/>
    <w:multiLevelType w:val="hybridMultilevel"/>
    <w:tmpl w:val="D3FABB98"/>
    <w:lvl w:ilvl="0" w:tplc="FD4020E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862E0D"/>
    <w:multiLevelType w:val="hybridMultilevel"/>
    <w:tmpl w:val="AA16BA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C6"/>
    <w:rsid w:val="00005675"/>
    <w:rsid w:val="0004194A"/>
    <w:rsid w:val="00055EBB"/>
    <w:rsid w:val="00073F73"/>
    <w:rsid w:val="000B13BF"/>
    <w:rsid w:val="001E70BC"/>
    <w:rsid w:val="002129AD"/>
    <w:rsid w:val="002536CE"/>
    <w:rsid w:val="00306514"/>
    <w:rsid w:val="003B6185"/>
    <w:rsid w:val="003B7191"/>
    <w:rsid w:val="003E2E7C"/>
    <w:rsid w:val="003E4DCA"/>
    <w:rsid w:val="003E4EAB"/>
    <w:rsid w:val="00445A3F"/>
    <w:rsid w:val="004B4166"/>
    <w:rsid w:val="004D0EDE"/>
    <w:rsid w:val="005B2159"/>
    <w:rsid w:val="005C2FAF"/>
    <w:rsid w:val="007162C6"/>
    <w:rsid w:val="0075514B"/>
    <w:rsid w:val="007A5065"/>
    <w:rsid w:val="007E3B25"/>
    <w:rsid w:val="00815FEA"/>
    <w:rsid w:val="0082257C"/>
    <w:rsid w:val="008309B6"/>
    <w:rsid w:val="00836A90"/>
    <w:rsid w:val="00837F7D"/>
    <w:rsid w:val="008B3EEE"/>
    <w:rsid w:val="008C69FD"/>
    <w:rsid w:val="008D7BC0"/>
    <w:rsid w:val="00984A1C"/>
    <w:rsid w:val="00A447B4"/>
    <w:rsid w:val="00A73736"/>
    <w:rsid w:val="00A95C29"/>
    <w:rsid w:val="00B42508"/>
    <w:rsid w:val="00B4559F"/>
    <w:rsid w:val="00B860CD"/>
    <w:rsid w:val="00B868A4"/>
    <w:rsid w:val="00BD0964"/>
    <w:rsid w:val="00CC526B"/>
    <w:rsid w:val="00CE2041"/>
    <w:rsid w:val="00D15401"/>
    <w:rsid w:val="00D6396C"/>
    <w:rsid w:val="00E534B3"/>
    <w:rsid w:val="00E55810"/>
    <w:rsid w:val="00E724C1"/>
    <w:rsid w:val="00EE23BD"/>
    <w:rsid w:val="00F07DC9"/>
    <w:rsid w:val="00F54986"/>
    <w:rsid w:val="00F960E2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F447D"/>
  <w15:chartTrackingRefBased/>
  <w15:docId w15:val="{5426C8F9-C150-4DD0-BB15-0E0D4083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29AD"/>
    <w:pPr>
      <w:ind w:left="720"/>
      <w:contextualSpacing/>
    </w:pPr>
  </w:style>
  <w:style w:type="table" w:styleId="Grigliatabella">
    <w:name w:val="Table Grid"/>
    <w:basedOn w:val="Tabellanormale"/>
    <w:uiPriority w:val="39"/>
    <w:rsid w:val="005C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DC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7F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7F7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7F7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7F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7F7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425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508"/>
  </w:style>
  <w:style w:type="paragraph" w:styleId="Pidipagina">
    <w:name w:val="footer"/>
    <w:basedOn w:val="Normale"/>
    <w:link w:val="PidipaginaCarattere"/>
    <w:uiPriority w:val="99"/>
    <w:unhideWhenUsed/>
    <w:rsid w:val="00B425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Sabatelli</dc:creator>
  <cp:keywords/>
  <dc:description/>
  <cp:lastModifiedBy>Dall'Oglio Anna</cp:lastModifiedBy>
  <cp:revision>3</cp:revision>
  <cp:lastPrinted>2021-02-08T10:52:00Z</cp:lastPrinted>
  <dcterms:created xsi:type="dcterms:W3CDTF">2026-01-14T11:21:00Z</dcterms:created>
  <dcterms:modified xsi:type="dcterms:W3CDTF">2026-01-14T11:21:00Z</dcterms:modified>
</cp:coreProperties>
</file>